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4"/>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3113"/>
        <w:gridCol w:w="720"/>
        <w:gridCol w:w="4763"/>
      </w:tblGrid>
      <w:tr w:rsidR="00BF7CA9" w:rsidTr="00BF7CA9">
        <w:trPr>
          <w:trHeight w:val="270"/>
        </w:trPr>
        <w:tc>
          <w:tcPr>
            <w:tcW w:w="2194" w:type="dxa"/>
            <w:vMerge w:val="restart"/>
            <w:vAlign w:val="bottom"/>
          </w:tcPr>
          <w:p w:rsidR="00BF7CA9" w:rsidRDefault="00BF7CA9" w:rsidP="00BF7CA9">
            <w:pPr>
              <w:pStyle w:val="ConferenceName"/>
              <w:jc w:val="center"/>
              <w:rPr>
                <w:rFonts w:asciiTheme="majorHAnsi" w:hAnsiTheme="majorHAnsi"/>
                <w:sz w:val="24"/>
                <w:lang w:eastAsia="ja-JP"/>
              </w:rPr>
            </w:pPr>
            <w:r>
              <w:rPr>
                <w:noProof/>
              </w:rPr>
              <w:drawing>
                <wp:inline distT="0" distB="0" distL="0" distR="0" wp14:anchorId="7B0F7AB1" wp14:editId="1BE2D210">
                  <wp:extent cx="124777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113" w:type="dxa"/>
            <w:vMerge w:val="restart"/>
            <w:tcBorders>
              <w:right w:val="single" w:sz="18" w:space="0" w:color="FFFFFF" w:themeColor="background1"/>
            </w:tcBorders>
            <w:vAlign w:val="bottom"/>
          </w:tcPr>
          <w:p w:rsidR="00BF7CA9" w:rsidRDefault="00BF7CA9" w:rsidP="00A20064">
            <w:pPr>
              <w:pStyle w:val="Title"/>
              <w:jc w:val="center"/>
              <w:rPr>
                <w:b/>
                <w:sz w:val="40"/>
              </w:rPr>
            </w:pPr>
            <w:r>
              <w:rPr>
                <w:b/>
                <w:sz w:val="40"/>
              </w:rPr>
              <w:t>Board</w:t>
            </w:r>
          </w:p>
          <w:p w:rsidR="00BF7CA9" w:rsidRDefault="00BF7CA9" w:rsidP="00A20064">
            <w:pPr>
              <w:pStyle w:val="Title"/>
              <w:jc w:val="center"/>
              <w:rPr>
                <w:b/>
                <w:sz w:val="40"/>
              </w:rPr>
            </w:pPr>
            <w:r>
              <w:rPr>
                <w:b/>
                <w:sz w:val="40"/>
              </w:rPr>
              <w:t>Minutes</w:t>
            </w:r>
          </w:p>
          <w:p w:rsidR="00BF7CA9" w:rsidRPr="00A20064" w:rsidRDefault="00283B33" w:rsidP="00A20064">
            <w:pPr>
              <w:jc w:val="center"/>
              <w:rPr>
                <w:b/>
                <w:color w:val="7F7F7F" w:themeColor="text1" w:themeTint="80"/>
              </w:rPr>
            </w:pPr>
            <w:r>
              <w:rPr>
                <w:b/>
                <w:color w:val="7F7F7F" w:themeColor="text1" w:themeTint="80"/>
                <w:sz w:val="40"/>
                <w:szCs w:val="40"/>
              </w:rPr>
              <w:t>3.10.16</w:t>
            </w:r>
          </w:p>
        </w:tc>
        <w:tc>
          <w:tcPr>
            <w:tcW w:w="5483" w:type="dxa"/>
            <w:gridSpan w:val="2"/>
            <w:tcBorders>
              <w:top w:val="single" w:sz="18" w:space="0" w:color="FFFFFF" w:themeColor="background1"/>
              <w:left w:val="single" w:sz="18" w:space="0" w:color="FFFFFF" w:themeColor="background1"/>
              <w:bottom w:val="single" w:sz="18" w:space="0" w:color="2E74B5" w:themeColor="accent1" w:themeShade="BF"/>
              <w:right w:val="single" w:sz="18" w:space="0" w:color="FFFFFF" w:themeColor="background1"/>
            </w:tcBorders>
            <w:vAlign w:val="center"/>
          </w:tcPr>
          <w:p w:rsidR="00BF7CA9" w:rsidRPr="00DA4B6A" w:rsidRDefault="00BF7CA9" w:rsidP="00BF7CA9">
            <w:pPr>
              <w:pStyle w:val="ConferenceName"/>
              <w:rPr>
                <w:rFonts w:asciiTheme="majorHAnsi" w:hAnsiTheme="majorHAnsi"/>
                <w:sz w:val="24"/>
                <w:lang w:eastAsia="ja-JP"/>
              </w:rPr>
            </w:pPr>
            <w:r w:rsidRPr="00A20064">
              <w:rPr>
                <w:rFonts w:asciiTheme="majorHAnsi" w:hAnsiTheme="majorHAnsi"/>
                <w:sz w:val="28"/>
                <w:lang w:eastAsia="ja-JP"/>
              </w:rPr>
              <w:t>CTE:</w:t>
            </w:r>
            <w:r>
              <w:rPr>
                <w:rFonts w:asciiTheme="majorHAnsi" w:hAnsiTheme="majorHAnsi"/>
                <w:sz w:val="28"/>
                <w:lang w:eastAsia="ja-JP"/>
              </w:rPr>
              <w:t xml:space="preserve"> </w:t>
            </w:r>
            <w:r w:rsidRPr="00A20064">
              <w:rPr>
                <w:rFonts w:asciiTheme="majorHAnsi" w:hAnsiTheme="majorHAnsi"/>
                <w:sz w:val="28"/>
                <w:lang w:eastAsia="ja-JP"/>
              </w:rPr>
              <w:t>Learning that Works for Iowa</w:t>
            </w:r>
          </w:p>
        </w:tc>
      </w:tr>
      <w:tr w:rsidR="00BF7CA9" w:rsidTr="00BF7CA9">
        <w:trPr>
          <w:trHeight w:val="287"/>
        </w:trPr>
        <w:tc>
          <w:tcPr>
            <w:tcW w:w="2194" w:type="dxa"/>
            <w:vMerge/>
            <w:vAlign w:val="center"/>
          </w:tcPr>
          <w:p w:rsidR="00A20064"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Default="00A20064" w:rsidP="00A20064">
            <w:pPr>
              <w:jc w:val="center"/>
              <w:rPr>
                <w:rFonts w:ascii="Calibri" w:hAnsi="Calibri"/>
              </w:rPr>
            </w:pPr>
          </w:p>
        </w:tc>
        <w:tc>
          <w:tcPr>
            <w:tcW w:w="720" w:type="dxa"/>
            <w:tcBorders>
              <w:top w:val="single" w:sz="18" w:space="0" w:color="FFFFFF" w:themeColor="background1"/>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Pr>
                <w:rFonts w:ascii="Calibri" w:hAnsi="Calibri"/>
              </w:rPr>
              <w:t>IAAE</w:t>
            </w:r>
          </w:p>
        </w:tc>
        <w:tc>
          <w:tcPr>
            <w:tcW w:w="4763" w:type="dxa"/>
            <w:tcBorders>
              <w:top w:val="single" w:sz="18" w:space="0" w:color="2E74B5" w:themeColor="accent1" w:themeShade="BF"/>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Association of Agricultural Educators</w:t>
            </w:r>
          </w:p>
        </w:tc>
      </w:tr>
      <w:tr w:rsidR="00BF7CA9" w:rsidTr="00BF7CA9">
        <w:trPr>
          <w:trHeight w:val="280"/>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IBEA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Business Education Association</w:t>
            </w:r>
          </w:p>
        </w:tc>
      </w:tr>
      <w:tr w:rsidR="00BF7CA9" w:rsidTr="00BF7CA9">
        <w:trPr>
          <w:trHeight w:val="261"/>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IFCSE</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rPr>
                <w:rFonts w:ascii="Calibri" w:hAnsi="Calibri"/>
              </w:rPr>
            </w:pPr>
            <w:r w:rsidRPr="00DA4B6A">
              <w:rPr>
                <w:rFonts w:ascii="Calibri" w:hAnsi="Calibri"/>
              </w:rPr>
              <w:t>Iowa Family &amp; Consumer Sciences Educators</w:t>
            </w:r>
          </w:p>
        </w:tc>
      </w:tr>
      <w:tr w:rsidR="00BF7CA9" w:rsidTr="00BF7CA9">
        <w:trPr>
          <w:trHeight w:val="249"/>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IHEA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Health Educators Association</w:t>
            </w:r>
          </w:p>
        </w:tc>
      </w:tr>
      <w:tr w:rsidR="00BF7CA9" w:rsidTr="00BF7CA9">
        <w:trPr>
          <w:trHeight w:val="254"/>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bottom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IITEA</w:t>
            </w:r>
          </w:p>
        </w:tc>
        <w:tc>
          <w:tcPr>
            <w:tcW w:w="4763" w:type="dxa"/>
            <w:tcBorders>
              <w:left w:val="single" w:sz="18" w:space="0" w:color="2E74B5" w:themeColor="accent1" w:themeShade="BF"/>
              <w:bottom w:val="single" w:sz="18" w:space="0" w:color="FFFFFF" w:themeColor="background1"/>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Industrial Technology Educators Association</w:t>
            </w:r>
          </w:p>
        </w:tc>
      </w:tr>
    </w:tbl>
    <w:p w:rsidR="00805EF9" w:rsidRDefault="00805EF9" w:rsidP="00A20064"/>
    <w:p w:rsidR="00283B33" w:rsidRDefault="00283B33" w:rsidP="00A20064"/>
    <w:p w:rsidR="00283B33" w:rsidRPr="00283B33" w:rsidRDefault="00283B33" w:rsidP="00283B33">
      <w:pPr>
        <w:rPr>
          <w:sz w:val="24"/>
          <w:szCs w:val="24"/>
        </w:rPr>
      </w:pPr>
      <w:r w:rsidRPr="00283B33">
        <w:rPr>
          <w:b/>
          <w:sz w:val="24"/>
          <w:szCs w:val="24"/>
        </w:rPr>
        <w:t>Call to Order:</w:t>
      </w:r>
      <w:r w:rsidRPr="00283B33">
        <w:rPr>
          <w:sz w:val="24"/>
          <w:szCs w:val="24"/>
        </w:rPr>
        <w:t xml:space="preserve"> The regular meeting of the IACTE Board of Directors was called to order at 7:04 p.m. by President, Barb Lemmer. </w:t>
      </w:r>
    </w:p>
    <w:p w:rsidR="00283B33" w:rsidRPr="00283B33" w:rsidRDefault="00283B33" w:rsidP="00283B33">
      <w:pPr>
        <w:rPr>
          <w:sz w:val="24"/>
        </w:rPr>
      </w:pPr>
      <w:r w:rsidRPr="00283B33">
        <w:rPr>
          <w:b/>
          <w:sz w:val="24"/>
        </w:rPr>
        <w:t>I. Attendance – Roll call</w:t>
      </w:r>
      <w:r w:rsidRPr="00283B33">
        <w:rPr>
          <w:sz w:val="24"/>
        </w:rPr>
        <w:t xml:space="preserve">: Barb </w:t>
      </w:r>
      <w:proofErr w:type="spellStart"/>
      <w:r w:rsidRPr="00283B33">
        <w:rPr>
          <w:sz w:val="24"/>
        </w:rPr>
        <w:t>Lemmer</w:t>
      </w:r>
      <w:proofErr w:type="spellEnd"/>
      <w:r w:rsidRPr="00283B33">
        <w:rPr>
          <w:sz w:val="24"/>
        </w:rPr>
        <w:t xml:space="preserve">, </w:t>
      </w:r>
      <w:proofErr w:type="spellStart"/>
      <w:r w:rsidRPr="00283B33">
        <w:rPr>
          <w:sz w:val="24"/>
        </w:rPr>
        <w:t>Lorri</w:t>
      </w:r>
      <w:proofErr w:type="spellEnd"/>
      <w:r w:rsidRPr="00283B33">
        <w:rPr>
          <w:sz w:val="24"/>
        </w:rPr>
        <w:t xml:space="preserve"> Haskell, Jeff Mayes, Sandy Warning, Greg </w:t>
      </w:r>
      <w:proofErr w:type="spellStart"/>
      <w:r w:rsidRPr="00283B33">
        <w:rPr>
          <w:sz w:val="24"/>
        </w:rPr>
        <w:t>Kepner</w:t>
      </w:r>
      <w:proofErr w:type="spellEnd"/>
      <w:r w:rsidRPr="00283B33">
        <w:rPr>
          <w:sz w:val="24"/>
        </w:rPr>
        <w:t xml:space="preserve">, Kelsie </w:t>
      </w:r>
      <w:proofErr w:type="spellStart"/>
      <w:r w:rsidRPr="00283B33">
        <w:rPr>
          <w:sz w:val="24"/>
        </w:rPr>
        <w:t>Engelken</w:t>
      </w:r>
      <w:proofErr w:type="spellEnd"/>
      <w:r w:rsidRPr="00283B33">
        <w:rPr>
          <w:sz w:val="24"/>
        </w:rPr>
        <w:t xml:space="preserve">, Sandy Miller, and Zoe Thornton for Lisa </w:t>
      </w:r>
      <w:proofErr w:type="spellStart"/>
      <w:r w:rsidRPr="00283B33">
        <w:rPr>
          <w:sz w:val="24"/>
        </w:rPr>
        <w:t>Stange</w:t>
      </w:r>
      <w:proofErr w:type="spellEnd"/>
      <w:r w:rsidRPr="00283B33">
        <w:rPr>
          <w:sz w:val="24"/>
        </w:rPr>
        <w:t xml:space="preserve"> as DE Liaison</w:t>
      </w:r>
    </w:p>
    <w:p w:rsidR="00283B33" w:rsidRPr="00283B33" w:rsidRDefault="00283B33" w:rsidP="00283B33">
      <w:r w:rsidRPr="00283B33">
        <w:rPr>
          <w:b/>
        </w:rPr>
        <w:t>II. Treasurer’s Report and Budget:</w:t>
      </w:r>
      <w:r w:rsidRPr="00283B33">
        <w:t xml:space="preserve"> was sent March 1</w:t>
      </w:r>
      <w:r w:rsidRPr="00283B33">
        <w:rPr>
          <w:vertAlign w:val="superscript"/>
        </w:rPr>
        <w:t>st</w:t>
      </w:r>
      <w:r w:rsidRPr="00283B33">
        <w:t xml:space="preserve">. Some invoices are still being paid for NPS. The budget is healthy. Each division that sent a student supported by IACTE to NPS is asked to contribute $100 to IACTE for their student. Who is TSA representative? Who is the Industrial Tech treasurer? Greg will look into this. HOSA contribution?  IFCSE has contributed $1000. </w:t>
      </w:r>
    </w:p>
    <w:p w:rsidR="00283B33" w:rsidRPr="00283B33" w:rsidRDefault="00283B33" w:rsidP="00283B33">
      <w:r w:rsidRPr="00283B33">
        <w:t xml:space="preserve">National Policy Seminar (NPS): The four students that were supported by IACTE did a great job. We saw Senators and Representatives on Tuesday and Wednesday. Grassley sent a note back that he joined the CTE Caucus Committee. Most of our Senators and Representatives were visited. </w:t>
      </w:r>
    </w:p>
    <w:p w:rsidR="00283B33" w:rsidRPr="00283B33" w:rsidRDefault="00283B33" w:rsidP="00283B33">
      <w:pPr>
        <w:rPr>
          <w:b/>
        </w:rPr>
      </w:pPr>
      <w:r w:rsidRPr="00283B33">
        <w:rPr>
          <w:b/>
        </w:rPr>
        <w:t>III. Division Reports:</w:t>
      </w:r>
    </w:p>
    <w:p w:rsidR="00283B33" w:rsidRPr="00283B33" w:rsidRDefault="00283B33" w:rsidP="00283B33">
      <w:r w:rsidRPr="00283B33">
        <w:t xml:space="preserve">IAAE – Jeff Mayes </w:t>
      </w:r>
      <w:r w:rsidR="001A6A9E" w:rsidRPr="00283B33">
        <w:t>- IAAE</w:t>
      </w:r>
      <w:r w:rsidRPr="00283B33">
        <w:t xml:space="preserve"> is heavy in conference planning. Theme for conference is “Community.” We are fighting membership issues. Some of our members are questioning the value of memberships. Maybe this is some of our newer members.  As far as IACTE and Ag there have been some questions about how we feel about the Senate file and how it relates to how our courses are identified. We should have our awards submitted to IACTE soon.</w:t>
      </w:r>
    </w:p>
    <w:p w:rsidR="00283B33" w:rsidRPr="00283B33" w:rsidRDefault="00283B33" w:rsidP="00283B33">
      <w:pPr>
        <w:rPr>
          <w:rFonts w:ascii="Calibri" w:eastAsia="Calibri" w:hAnsi="Calibri" w:cs="Times New Roman"/>
          <w:sz w:val="24"/>
        </w:rPr>
      </w:pPr>
      <w:r w:rsidRPr="00283B33">
        <w:t>IBEA – Sandy Warning - Written report included (attached at the end of the minutes)</w:t>
      </w:r>
    </w:p>
    <w:p w:rsidR="00283B33" w:rsidRPr="00283B33" w:rsidRDefault="00283B33" w:rsidP="00283B33">
      <w:r w:rsidRPr="00283B33">
        <w:t xml:space="preserve">IITEA – Greg </w:t>
      </w:r>
      <w:proofErr w:type="spellStart"/>
      <w:r w:rsidRPr="00283B33">
        <w:t>Kepner</w:t>
      </w:r>
      <w:proofErr w:type="spellEnd"/>
      <w:r w:rsidRPr="00283B33">
        <w:t xml:space="preserve"> - We have had one board meeting since we last met. There is nothing to report at this time.</w:t>
      </w:r>
    </w:p>
    <w:p w:rsidR="00283B33" w:rsidRPr="00283B33" w:rsidRDefault="00283B33" w:rsidP="00283B33">
      <w:r w:rsidRPr="00283B33">
        <w:t xml:space="preserve">IHEA – </w:t>
      </w:r>
      <w:proofErr w:type="spellStart"/>
      <w:r w:rsidRPr="00283B33">
        <w:t>Lorri</w:t>
      </w:r>
      <w:proofErr w:type="spellEnd"/>
      <w:r w:rsidRPr="00283B33">
        <w:t xml:space="preserve"> Haskell - We meet monthly by phone. We will have a face to face meeting on April 7. Conference will be June 2 -3 at </w:t>
      </w:r>
      <w:r w:rsidRPr="00283B33">
        <w:rPr>
          <w:rFonts w:ascii="Verdana" w:hAnsi="Verdana"/>
          <w:sz w:val="18"/>
          <w:szCs w:val="18"/>
        </w:rPr>
        <w:t>Prairie Meadows Conference Center, Altoona</w:t>
      </w:r>
      <w:r w:rsidRPr="00283B33">
        <w:t xml:space="preserve">. No theme yet. Working on some really good speakers. Information can be found at www. Iowahealthed.org   Registration will be $185 which will include IACTE and IHEA dues. Either Barb or Sandy will attend to bring IACTE greetings. </w:t>
      </w:r>
    </w:p>
    <w:p w:rsidR="00283B33" w:rsidRPr="00283B33" w:rsidRDefault="00283B33" w:rsidP="00283B33">
      <w:r w:rsidRPr="00283B33">
        <w:t xml:space="preserve">IFCSE – Kelsie </w:t>
      </w:r>
      <w:proofErr w:type="spellStart"/>
      <w:r w:rsidRPr="00283B33">
        <w:t>Engelken</w:t>
      </w:r>
      <w:proofErr w:type="spellEnd"/>
      <w:r w:rsidRPr="00283B33">
        <w:t xml:space="preserve"> - Key Leader meeting was Feb 20</w:t>
      </w:r>
      <w:r w:rsidRPr="00283B33">
        <w:rPr>
          <w:vertAlign w:val="superscript"/>
        </w:rPr>
        <w:t>th</w:t>
      </w:r>
      <w:r w:rsidRPr="00283B33">
        <w:t>. The IFCSE Conference will be June 12-14</w:t>
      </w:r>
      <w:r w:rsidRPr="00283B33">
        <w:rPr>
          <w:vertAlign w:val="superscript"/>
        </w:rPr>
        <w:t>th</w:t>
      </w:r>
      <w:r w:rsidRPr="00283B33">
        <w:t xml:space="preserve"> in Cedar Falls at UNI. The Theme is “Say Yes to FCS.” There will be two post conference sessions for those who want to earn credit. These sessions will be titled: </w:t>
      </w:r>
      <w:r w:rsidRPr="00283B33">
        <w:rPr>
          <w:i/>
        </w:rPr>
        <w:t>Working on Fashion and STEM</w:t>
      </w:r>
      <w:r w:rsidRPr="00283B33">
        <w:t xml:space="preserve">, and </w:t>
      </w:r>
      <w:r w:rsidRPr="00283B33">
        <w:rPr>
          <w:i/>
        </w:rPr>
        <w:t xml:space="preserve">Bulling Bystander Training. </w:t>
      </w:r>
      <w:r w:rsidR="001A6A9E">
        <w:t xml:space="preserve">Courtney </w:t>
      </w:r>
      <w:proofErr w:type="spellStart"/>
      <w:r w:rsidR="001A6A9E">
        <w:t>Teghtmeyer</w:t>
      </w:r>
      <w:proofErr w:type="spellEnd"/>
      <w:r w:rsidR="001A6A9E">
        <w:t xml:space="preserve"> will serve</w:t>
      </w:r>
      <w:r w:rsidRPr="00283B33">
        <w:t xml:space="preserve"> as the 2017-2018</w:t>
      </w:r>
      <w:r w:rsidR="001A6A9E">
        <w:t xml:space="preserve"> </w:t>
      </w:r>
      <w:r w:rsidRPr="00283B33">
        <w:t xml:space="preserve">IFCSE President. Kelsie </w:t>
      </w:r>
      <w:proofErr w:type="spellStart"/>
      <w:r w:rsidRPr="00283B33">
        <w:t>Engelken</w:t>
      </w:r>
      <w:proofErr w:type="spellEnd"/>
      <w:r w:rsidRPr="00283B33">
        <w:t xml:space="preserve"> will serve as 2016-2017 IFCSE President. </w:t>
      </w:r>
    </w:p>
    <w:p w:rsidR="00283B33" w:rsidRPr="00283B33" w:rsidRDefault="00283B33" w:rsidP="00283B33">
      <w:r w:rsidRPr="00283B33">
        <w:t xml:space="preserve">ISCA – Amy </w:t>
      </w:r>
      <w:proofErr w:type="spellStart"/>
      <w:r w:rsidRPr="00283B33">
        <w:t>DeGroot</w:t>
      </w:r>
      <w:proofErr w:type="spellEnd"/>
      <w:r w:rsidRPr="00283B33">
        <w:t>-Hammer – No report</w:t>
      </w:r>
    </w:p>
    <w:p w:rsidR="00283B33" w:rsidRPr="00283B33" w:rsidRDefault="00283B33" w:rsidP="00283B33">
      <w:r w:rsidRPr="00283B33">
        <w:rPr>
          <w:b/>
        </w:rPr>
        <w:t>IV. ACTE Region III Representative Report</w:t>
      </w:r>
      <w:r w:rsidRPr="00283B33">
        <w:t xml:space="preserve"> – Zoe Thornton (for Lisa </w:t>
      </w:r>
      <w:proofErr w:type="spellStart"/>
      <w:r w:rsidRPr="00283B33">
        <w:t>Stange</w:t>
      </w:r>
      <w:proofErr w:type="spellEnd"/>
      <w:r w:rsidRPr="00283B33">
        <w:t xml:space="preserve">) - The Region III Conference is June 15-17, 2016 in Jefferson, MO. </w:t>
      </w:r>
    </w:p>
    <w:p w:rsidR="00283B33" w:rsidRPr="00283B33" w:rsidRDefault="00283B33" w:rsidP="00283B33">
      <w:r w:rsidRPr="00283B33">
        <w:rPr>
          <w:b/>
        </w:rPr>
        <w:t>V. DE Liaison Report</w:t>
      </w:r>
      <w:r w:rsidRPr="00283B33">
        <w:t xml:space="preserve"> – Zoe Thornton -  There have been questions about House File 2392. It has been passed in the House and is in the Senate. We briefly discussed this legislation. Questions/Comments/Concerns about this bill should be submitted to Lisa </w:t>
      </w:r>
      <w:proofErr w:type="spellStart"/>
      <w:r w:rsidRPr="00283B33">
        <w:t>Stange</w:t>
      </w:r>
      <w:proofErr w:type="spellEnd"/>
      <w:r w:rsidRPr="00283B33">
        <w:t>, IACTE liaison, Pradeep or discipline consultants at the DE in an email. This bill was not one that was written by the Dept</w:t>
      </w:r>
      <w:r>
        <w:t>.</w:t>
      </w:r>
      <w:r w:rsidRPr="00283B33">
        <w:t xml:space="preserve"> of Ed. It came out of the House Education Committee. </w:t>
      </w:r>
    </w:p>
    <w:p w:rsidR="00283B33" w:rsidRPr="00283B33" w:rsidRDefault="00283B33" w:rsidP="00283B33">
      <w:r w:rsidRPr="00283B33">
        <w:t>Send CTE Task Force questions to Pradeep and Lisa in an email.</w:t>
      </w:r>
    </w:p>
    <w:p w:rsidR="00283B33" w:rsidRPr="00283B33" w:rsidRDefault="00283B33" w:rsidP="00283B33">
      <w:r w:rsidRPr="00283B33">
        <w:rPr>
          <w:b/>
        </w:rPr>
        <w:lastRenderedPageBreak/>
        <w:t>VI. Executive Director’s Report</w:t>
      </w:r>
      <w:r w:rsidRPr="00283B33">
        <w:t xml:space="preserve"> – Sandy Miller – Written report included (attached at the end of the minutes) </w:t>
      </w:r>
    </w:p>
    <w:p w:rsidR="00283B33" w:rsidRPr="00283B33" w:rsidRDefault="00283B33" w:rsidP="00283B33">
      <w:r w:rsidRPr="00283B33">
        <w:rPr>
          <w:b/>
        </w:rPr>
        <w:t>VII. Program of Work – Committee Reports</w:t>
      </w:r>
      <w:r w:rsidRPr="00283B33">
        <w:t xml:space="preserve"> – </w:t>
      </w:r>
    </w:p>
    <w:p w:rsidR="00283B33" w:rsidRPr="00283B33" w:rsidRDefault="00283B33" w:rsidP="00283B33">
      <w:r w:rsidRPr="00283B33">
        <w:t xml:space="preserve">*Audit Review - Sandy Warning – The audit has been completed. All records are in order. </w:t>
      </w:r>
    </w:p>
    <w:p w:rsidR="00283B33" w:rsidRPr="00283B33" w:rsidRDefault="00283B33" w:rsidP="00283B33">
      <w:r w:rsidRPr="00283B33">
        <w:t>*Conference Planning – Barb Lemmer – Much of the information about conference and the Spring Professional Development Webinars is included in the Executive Director’s Repo</w:t>
      </w:r>
      <w:r w:rsidR="00FC621C">
        <w:t>rt. There will be a conference planning t</w:t>
      </w:r>
      <w:r w:rsidRPr="00283B33">
        <w:t>eleconference Tuesday, March 15</w:t>
      </w:r>
      <w:r w:rsidRPr="00283B33">
        <w:rPr>
          <w:vertAlign w:val="superscript"/>
        </w:rPr>
        <w:t>th</w:t>
      </w:r>
      <w:r w:rsidRPr="00283B33">
        <w:t xml:space="preserve"> 7-8 p.m. </w:t>
      </w:r>
      <w:r w:rsidR="00576D14">
        <w:t xml:space="preserve">The 2016-2017 IACTE Conference will be Thursday, Sept 29 and focus on best practice. </w:t>
      </w:r>
      <w:r w:rsidRPr="00283B33">
        <w:t xml:space="preserve">Conference Planning Committee members were identified as: IBEA – Sandy Warning, IAAE – Jeff Mayes, IHEA – </w:t>
      </w:r>
      <w:proofErr w:type="spellStart"/>
      <w:r w:rsidRPr="00283B33">
        <w:t>Lorri</w:t>
      </w:r>
      <w:proofErr w:type="spellEnd"/>
      <w:r w:rsidRPr="00283B33">
        <w:t xml:space="preserve"> will try to find someone and will serve on committee until such other person is found, IFSCE – Kelsie </w:t>
      </w:r>
      <w:proofErr w:type="spellStart"/>
      <w:r w:rsidRPr="00283B33">
        <w:t>Engelken</w:t>
      </w:r>
      <w:proofErr w:type="spellEnd"/>
      <w:r w:rsidRPr="00283B33">
        <w:t xml:space="preserve"> or Julie Schreiber, IITEA – Greg </w:t>
      </w:r>
      <w:proofErr w:type="spellStart"/>
      <w:r w:rsidRPr="00283B33">
        <w:t>Kepner</w:t>
      </w:r>
      <w:proofErr w:type="spellEnd"/>
      <w:r w:rsidRPr="00283B33">
        <w:t xml:space="preserve">. </w:t>
      </w:r>
    </w:p>
    <w:p w:rsidR="00283B33" w:rsidRPr="00283B33" w:rsidRDefault="00283B33" w:rsidP="00283B33">
      <w:r w:rsidRPr="00283B33">
        <w:t xml:space="preserve">Send ideas for Best Practices to Lisa if you have ideas. Please send them very soon because the DE has already sent out inquiries for topics and has presenters identified. </w:t>
      </w:r>
      <w:r w:rsidR="00576D14">
        <w:t>T</w:t>
      </w:r>
    </w:p>
    <w:p w:rsidR="00283B33" w:rsidRPr="00283B33" w:rsidRDefault="00283B33" w:rsidP="00283B33">
      <w:r w:rsidRPr="00283B33">
        <w:t>*Awards and Scholarships – Barb for Dana - May 1 is the due date for submission of all award applications from divisions. The IACTE Teacher Preparation scholarship deadline for submission is also May 1. Dana plans to get something together next week to help us promote this scholarship as it is new and is sponsored by Dave Bunting. We need to get promotion for this out to the members very soon.</w:t>
      </w:r>
    </w:p>
    <w:p w:rsidR="00283B33" w:rsidRPr="00283B33" w:rsidRDefault="00283B33" w:rsidP="00283B33">
      <w:r w:rsidRPr="00283B33">
        <w:t>*Membership Report – Sandy Miller - Written report included (attached at the end of the minutes)</w:t>
      </w:r>
    </w:p>
    <w:p w:rsidR="00283B33" w:rsidRPr="00283B33" w:rsidRDefault="00283B33" w:rsidP="00283B33">
      <w:r w:rsidRPr="00283B33">
        <w:t>*Policy Development – Barb Lemmer – Barb asked the board if IACTE should advocate for CTE at the School Administrators of Iowa (SAI) Conference in August 3</w:t>
      </w:r>
      <w:r w:rsidRPr="00283B33">
        <w:rPr>
          <w:vertAlign w:val="superscript"/>
        </w:rPr>
        <w:t>rd</w:t>
      </w:r>
      <w:r w:rsidRPr="00283B33">
        <w:t xml:space="preserve"> noting that the registration has gone up to $715. Jeff moved that we attend the Iowa School Administrators Conference on August 3 taking into consideration the increased price for next year. </w:t>
      </w:r>
      <w:proofErr w:type="spellStart"/>
      <w:r w:rsidRPr="00283B33">
        <w:t>Lorri</w:t>
      </w:r>
      <w:proofErr w:type="spellEnd"/>
      <w:r w:rsidRPr="00283B33">
        <w:t xml:space="preserve"> seconded. Motion passed. </w:t>
      </w:r>
    </w:p>
    <w:p w:rsidR="00283B33" w:rsidRPr="00283B33" w:rsidRDefault="00283B33" w:rsidP="00283B33">
      <w:r w:rsidRPr="00283B33">
        <w:t xml:space="preserve">*Communications - Barb will contact Diane </w:t>
      </w:r>
      <w:proofErr w:type="spellStart"/>
      <w:r w:rsidRPr="00283B33">
        <w:t>Cornilsen</w:t>
      </w:r>
      <w:proofErr w:type="spellEnd"/>
      <w:r w:rsidRPr="00283B33">
        <w:t xml:space="preserve"> for deadline information and pass that on to the board. All division representatives are encouraged to submit an article for the newsletter. </w:t>
      </w:r>
    </w:p>
    <w:p w:rsidR="00283B33" w:rsidRPr="00283B33" w:rsidRDefault="00283B33" w:rsidP="00283B33">
      <w:r w:rsidRPr="00283B33">
        <w:rPr>
          <w:b/>
        </w:rPr>
        <w:t xml:space="preserve">Nominating Committee: </w:t>
      </w:r>
      <w:r w:rsidRPr="00283B33">
        <w:t xml:space="preserve"> Do we have any suggestions for 1</w:t>
      </w:r>
      <w:r w:rsidRPr="00283B33">
        <w:rPr>
          <w:vertAlign w:val="superscript"/>
        </w:rPr>
        <w:t>st</w:t>
      </w:r>
      <w:r w:rsidRPr="00283B33">
        <w:t xml:space="preserve"> and 2</w:t>
      </w:r>
      <w:r w:rsidRPr="00283B33">
        <w:rPr>
          <w:vertAlign w:val="superscript"/>
        </w:rPr>
        <w:t>nd</w:t>
      </w:r>
      <w:r w:rsidRPr="00283B33">
        <w:t xml:space="preserve"> V.P.? No names were suggested. We need some volunteers. We need a post-secondary person for first V.P. Brad Colton was suggested. We will extend an invitation to Brad Colton for 1</w:t>
      </w:r>
      <w:r w:rsidRPr="00283B33">
        <w:rPr>
          <w:vertAlign w:val="superscript"/>
        </w:rPr>
        <w:t>st</w:t>
      </w:r>
      <w:r w:rsidRPr="00283B33">
        <w:t xml:space="preserve"> V.P. </w:t>
      </w:r>
    </w:p>
    <w:p w:rsidR="00283B33" w:rsidRPr="00283B33" w:rsidRDefault="00283B33" w:rsidP="00283B33">
      <w:r w:rsidRPr="00283B33">
        <w:t>Jeff made a motion to adjourn. Lori seconded.  Motion passed. Meeting was adjourned at 8:07 p.m.</w:t>
      </w:r>
    </w:p>
    <w:p w:rsidR="00576D14" w:rsidRDefault="00283B33" w:rsidP="00283B33">
      <w:r w:rsidRPr="00283B33">
        <w:t>Respectfully Submitted,</w:t>
      </w:r>
    </w:p>
    <w:p w:rsidR="00283B33" w:rsidRPr="00283B33" w:rsidRDefault="00283B33" w:rsidP="00283B33">
      <w:r w:rsidRPr="00283B33">
        <w:t>Sandra Miller</w:t>
      </w:r>
      <w:r w:rsidR="00EF287F">
        <w:t>, S</w:t>
      </w:r>
      <w:r w:rsidR="000510B3">
        <w:t>ecr</w:t>
      </w:r>
      <w:r w:rsidR="00EF287F">
        <w:t>etary Pro T</w:t>
      </w:r>
      <w:r w:rsidR="000510B3">
        <w:t>em</w:t>
      </w:r>
      <w:r w:rsidR="00EF287F">
        <w:t xml:space="preserve"> and Part-time </w:t>
      </w:r>
      <w:bookmarkStart w:id="0" w:name="_GoBack"/>
      <w:bookmarkEnd w:id="0"/>
      <w:r w:rsidR="00EF287F">
        <w:t>Executive Director</w:t>
      </w:r>
    </w:p>
    <w:p w:rsidR="00283B33" w:rsidRPr="00283B33" w:rsidRDefault="00283B33" w:rsidP="00283B33">
      <w:pPr>
        <w:rPr>
          <w:sz w:val="24"/>
        </w:rPr>
      </w:pPr>
    </w:p>
    <w:p w:rsidR="00283B33" w:rsidRPr="00283B33" w:rsidRDefault="00283B33" w:rsidP="00283B33">
      <w:pPr>
        <w:rPr>
          <w:b/>
          <w:sz w:val="24"/>
        </w:rPr>
      </w:pPr>
      <w:r w:rsidRPr="00283B33">
        <w:rPr>
          <w:b/>
          <w:sz w:val="24"/>
        </w:rPr>
        <w:t>IBEA Report</w:t>
      </w:r>
    </w:p>
    <w:p w:rsidR="00283B33" w:rsidRPr="00283B33" w:rsidRDefault="00283B33" w:rsidP="00283B33">
      <w:pPr>
        <w:rPr>
          <w:sz w:val="24"/>
        </w:rPr>
      </w:pPr>
      <w:r w:rsidRPr="00283B33">
        <w:rPr>
          <w:sz w:val="24"/>
        </w:rPr>
        <w:t>March 10, 2016</w:t>
      </w:r>
    </w:p>
    <w:p w:rsidR="00283B33" w:rsidRPr="00283B33" w:rsidRDefault="00283B33" w:rsidP="00283B33">
      <w:pPr>
        <w:rPr>
          <w:sz w:val="24"/>
        </w:rPr>
      </w:pPr>
      <w:r w:rsidRPr="00283B33">
        <w:rPr>
          <w:sz w:val="24"/>
        </w:rPr>
        <w:t>The IBEA Executive Board met February 20. Several two-day workshops are planned this summer. Two collaboration workshops are planned this spring. Our fall conference is scheduled for October 23-24 at the Holiday Inn &amp; Suites in Urbandale. NBEA conference is March 22-26.</w:t>
      </w:r>
    </w:p>
    <w:p w:rsidR="00283B33" w:rsidRDefault="00283B33" w:rsidP="00283B33">
      <w:pPr>
        <w:rPr>
          <w:sz w:val="24"/>
        </w:rPr>
      </w:pPr>
      <w:r w:rsidRPr="00283B33">
        <w:rPr>
          <w:sz w:val="24"/>
        </w:rPr>
        <w:t>Respectfully submitted by Sandy Warning</w:t>
      </w:r>
    </w:p>
    <w:p w:rsidR="00EF287F" w:rsidRDefault="00EF287F" w:rsidP="00283B33">
      <w:pPr>
        <w:rPr>
          <w:b/>
          <w:sz w:val="24"/>
          <w:szCs w:val="24"/>
        </w:rPr>
      </w:pPr>
    </w:p>
    <w:p w:rsidR="00283B33" w:rsidRPr="00283B33" w:rsidRDefault="00283B33" w:rsidP="00283B33">
      <w:pPr>
        <w:rPr>
          <w:sz w:val="24"/>
        </w:rPr>
      </w:pPr>
      <w:r w:rsidRPr="00283B33">
        <w:rPr>
          <w:b/>
          <w:sz w:val="24"/>
          <w:szCs w:val="24"/>
        </w:rPr>
        <w:lastRenderedPageBreak/>
        <w:t>Executive Director Report</w:t>
      </w:r>
    </w:p>
    <w:p w:rsidR="00283B33" w:rsidRPr="00283B33" w:rsidRDefault="00283B33" w:rsidP="00283B33">
      <w:pPr>
        <w:rPr>
          <w:sz w:val="24"/>
          <w:szCs w:val="24"/>
        </w:rPr>
      </w:pPr>
      <w:r w:rsidRPr="00283B33">
        <w:rPr>
          <w:sz w:val="24"/>
          <w:szCs w:val="24"/>
        </w:rPr>
        <w:t>March 10, 2016</w:t>
      </w:r>
    </w:p>
    <w:p w:rsidR="00283B33" w:rsidRPr="00283B33" w:rsidRDefault="00283B33" w:rsidP="00283B33">
      <w:pPr>
        <w:rPr>
          <w:sz w:val="24"/>
          <w:szCs w:val="24"/>
        </w:rPr>
      </w:pPr>
    </w:p>
    <w:p w:rsidR="00283B33" w:rsidRPr="00283B33" w:rsidRDefault="00283B33" w:rsidP="00283B33">
      <w:pPr>
        <w:numPr>
          <w:ilvl w:val="0"/>
          <w:numId w:val="1"/>
        </w:numPr>
        <w:contextualSpacing/>
      </w:pPr>
      <w:r w:rsidRPr="00283B33">
        <w:t>Health Division paid dues for 56 members. The first newsletter was sent out to these members.</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Iowa ACTE purchased a closed-back royal blue table cloth and Iowa ACTE logo imprinted white table runner to use with our 6 foot table at advocacy events and division conferences. It worked great and looked sharp at the CTE Day at the Capitol.</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A successful CTE Day at the Capitol was held Monday, February 8 from 9:00 to 3:00 in the West and South wings of the Rotunda. There were 6 teachers and 12 students showcasing high-quality CTE. Our new table coverings with imprinted Iowa ACTE logo brought a professional look to our table. We gave out the new 2016 State Fact Sheet along with other handouts.  The Executive Director made and gave out approximately 85 homemade heart –shaped sugar cookies decorated with “CTE” on each.</w:t>
      </w:r>
    </w:p>
    <w:p w:rsidR="00283B33" w:rsidRPr="00283B33" w:rsidRDefault="00283B33" w:rsidP="00283B33">
      <w:pPr>
        <w:ind w:firstLine="720"/>
      </w:pPr>
      <w:r w:rsidRPr="00283B33">
        <w:t xml:space="preserve">The following schools represented Iowa CTE with professionalism and class! </w:t>
      </w:r>
    </w:p>
    <w:p w:rsidR="00283B33" w:rsidRPr="00283B33" w:rsidRDefault="00283B33" w:rsidP="00283B33">
      <w:pPr>
        <w:ind w:firstLine="720"/>
      </w:pPr>
      <w:r w:rsidRPr="00283B33">
        <w:t>Central Campus, Des Moines Public Schools, Career Opportunities in Health and CNA Programs</w:t>
      </w:r>
      <w:r w:rsidRPr="00283B33">
        <w:tab/>
      </w:r>
    </w:p>
    <w:p w:rsidR="00283B33" w:rsidRPr="00283B33" w:rsidRDefault="00283B33" w:rsidP="00283B33">
      <w:pPr>
        <w:ind w:firstLine="720"/>
      </w:pPr>
      <w:r w:rsidRPr="00283B33">
        <w:t>Indian Hills Community College, Laser Technology Program</w:t>
      </w:r>
    </w:p>
    <w:p w:rsidR="00283B33" w:rsidRPr="00283B33" w:rsidRDefault="00283B33" w:rsidP="00283B33">
      <w:pPr>
        <w:ind w:firstLine="720"/>
      </w:pPr>
      <w:r w:rsidRPr="00283B33">
        <w:t>Maquoketa High School, HOSA Program</w:t>
      </w:r>
    </w:p>
    <w:p w:rsidR="00283B33" w:rsidRPr="00283B33" w:rsidRDefault="00283B33" w:rsidP="00283B33">
      <w:pPr>
        <w:ind w:left="720"/>
        <w:contextualSpacing/>
      </w:pPr>
      <w:r w:rsidRPr="00283B33">
        <w:t>Southeast Polk High School Industrial Technology Program, Iowa Industrial Technology Expo</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 xml:space="preserve">E-blast was sent to all members about CTE month encouraging members to add CTE month logo to their signature line and social media profile picture. </w:t>
      </w:r>
    </w:p>
    <w:p w:rsidR="00283B33" w:rsidRPr="00283B33" w:rsidRDefault="00283B33" w:rsidP="00283B33">
      <w:pPr>
        <w:ind w:left="720"/>
        <w:contextualSpacing/>
      </w:pPr>
      <w:r w:rsidRPr="00283B33">
        <w:t>Second E-blast was sent to all members encouraging them to contact their United States Senator to sign a declaration naming February CTE Month.</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 xml:space="preserve">CTE Day at the Capitol for 2017 is set for Tuesday, January 31! Mark your calendars. </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Four Webinars are scheduled for professional development for 2015-2016. An email was sent to every member with a flyer and a registration link on March 1</w:t>
      </w:r>
      <w:r w:rsidRPr="00283B33">
        <w:rPr>
          <w:vertAlign w:val="superscript"/>
        </w:rPr>
        <w:t>st</w:t>
      </w:r>
      <w:r w:rsidRPr="00283B33">
        <w:t xml:space="preserve">. </w:t>
      </w:r>
    </w:p>
    <w:p w:rsidR="00283B33" w:rsidRPr="00283B33" w:rsidRDefault="00283B33" w:rsidP="00283B33">
      <w:pPr>
        <w:ind w:left="720"/>
        <w:contextualSpacing/>
      </w:pPr>
    </w:p>
    <w:p w:rsidR="00283B33" w:rsidRPr="00283B33" w:rsidRDefault="00283B33" w:rsidP="00283B33">
      <w:pPr>
        <w:ind w:left="720"/>
        <w:contextualSpacing/>
      </w:pPr>
      <w:r w:rsidRPr="00283B33">
        <w:t xml:space="preserve">Registration so far is as follows:  </w:t>
      </w:r>
    </w:p>
    <w:p w:rsidR="00283B33" w:rsidRPr="00283B33" w:rsidRDefault="00283B33" w:rsidP="00283B33">
      <w:pPr>
        <w:ind w:left="720"/>
        <w:contextualSpacing/>
      </w:pPr>
      <w:r w:rsidRPr="00283B33">
        <w:t>Instructional Strategies, March 30 -23 registered</w:t>
      </w:r>
    </w:p>
    <w:p w:rsidR="00283B33" w:rsidRPr="00283B33" w:rsidRDefault="00283B33" w:rsidP="00283B33">
      <w:pPr>
        <w:ind w:left="720"/>
        <w:contextualSpacing/>
      </w:pPr>
      <w:r w:rsidRPr="00283B33">
        <w:t>Instructional Strategies, Repeated, April 14 – 16 registered</w:t>
      </w:r>
    </w:p>
    <w:p w:rsidR="00283B33" w:rsidRPr="00283B33" w:rsidRDefault="00283B33" w:rsidP="00283B33">
      <w:pPr>
        <w:ind w:left="720"/>
        <w:contextualSpacing/>
      </w:pPr>
      <w:r w:rsidRPr="00283B33">
        <w:t>Grading for Learning in CTE, Standards Based Grading 101, Part I, April 12 – 37 registered</w:t>
      </w:r>
    </w:p>
    <w:p w:rsidR="00283B33" w:rsidRPr="00283B33" w:rsidRDefault="00283B33" w:rsidP="00283B33">
      <w:pPr>
        <w:ind w:left="720"/>
        <w:contextualSpacing/>
      </w:pPr>
      <w:r w:rsidRPr="00283B33">
        <w:t>Grading for Learning in CTE, Standards Based Grading 101, Part II, April 28 – 33 registered</w:t>
      </w:r>
    </w:p>
    <w:p w:rsidR="00283B33" w:rsidRPr="00283B33" w:rsidRDefault="00283B33" w:rsidP="00283B33">
      <w:pPr>
        <w:ind w:left="720"/>
        <w:contextualSpacing/>
        <w:rPr>
          <w:b/>
        </w:rPr>
      </w:pPr>
      <w:r w:rsidRPr="00283B33">
        <w:rPr>
          <w:b/>
        </w:rPr>
        <w:t>Total = 109 total registrations as of March 10</w:t>
      </w:r>
      <w:r w:rsidRPr="00283B33">
        <w:rPr>
          <w:b/>
          <w:vertAlign w:val="superscript"/>
        </w:rPr>
        <w:t>th</w:t>
      </w:r>
      <w:r w:rsidRPr="00283B33">
        <w:rPr>
          <w:b/>
        </w:rPr>
        <w:t>.</w:t>
      </w:r>
    </w:p>
    <w:p w:rsidR="00283B33" w:rsidRPr="00283B33" w:rsidRDefault="00283B33" w:rsidP="00283B33">
      <w:pPr>
        <w:ind w:left="720"/>
        <w:contextualSpacing/>
      </w:pPr>
    </w:p>
    <w:p w:rsidR="00283B33" w:rsidRPr="00283B33" w:rsidRDefault="00283B33" w:rsidP="00283B33">
      <w:pPr>
        <w:numPr>
          <w:ilvl w:val="0"/>
          <w:numId w:val="1"/>
        </w:numPr>
        <w:contextualSpacing/>
      </w:pPr>
      <w:r w:rsidRPr="00283B33">
        <w:t>IACTE Conference will be Thursday, Sept. 29</w:t>
      </w:r>
      <w:r w:rsidRPr="00283B33">
        <w:rPr>
          <w:vertAlign w:val="superscript"/>
        </w:rPr>
        <w:t>th</w:t>
      </w:r>
      <w:r w:rsidRPr="00283B33">
        <w:t xml:space="preserve"> at FFA Enrichment Center, Ankeny. Many sessions have been scheduled, Caterer has been secured. Need to identify Conference Planning Committee.</w:t>
      </w:r>
    </w:p>
    <w:p w:rsidR="00283B33" w:rsidRPr="00283B33" w:rsidRDefault="00283B33" w:rsidP="00283B33">
      <w:pPr>
        <w:numPr>
          <w:ilvl w:val="0"/>
          <w:numId w:val="1"/>
        </w:numPr>
        <w:contextualSpacing/>
      </w:pPr>
      <w:r w:rsidRPr="00283B33">
        <w:t xml:space="preserve">Website Updates are continually being done. </w:t>
      </w:r>
    </w:p>
    <w:p w:rsidR="00283B33" w:rsidRPr="00283B33" w:rsidRDefault="00283B33" w:rsidP="00283B33">
      <w:pPr>
        <w:numPr>
          <w:ilvl w:val="1"/>
          <w:numId w:val="1"/>
        </w:numPr>
        <w:contextualSpacing/>
      </w:pPr>
      <w:r w:rsidRPr="00283B33">
        <w:t>Quality Association Standards 2015 Winner</w:t>
      </w:r>
    </w:p>
    <w:p w:rsidR="00283B33" w:rsidRPr="00283B33" w:rsidRDefault="00283B33" w:rsidP="00283B33">
      <w:pPr>
        <w:numPr>
          <w:ilvl w:val="1"/>
          <w:numId w:val="1"/>
        </w:numPr>
        <w:contextualSpacing/>
      </w:pPr>
      <w:r w:rsidRPr="00283B33">
        <w:t>Awards Committee members names and email</w:t>
      </w:r>
    </w:p>
    <w:p w:rsidR="00283B33" w:rsidRPr="00283B33" w:rsidRDefault="00283B33" w:rsidP="00283B33">
      <w:pPr>
        <w:numPr>
          <w:ilvl w:val="1"/>
          <w:numId w:val="1"/>
        </w:numPr>
        <w:contextualSpacing/>
      </w:pPr>
      <w:r w:rsidRPr="00283B33">
        <w:lastRenderedPageBreak/>
        <w:t>Approved Board Minutes for September, October, November, and December have been sent to ACTE to add to web site.</w:t>
      </w:r>
    </w:p>
    <w:p w:rsidR="00283B33" w:rsidRPr="00283B33" w:rsidRDefault="00283B33" w:rsidP="00283B33">
      <w:pPr>
        <w:numPr>
          <w:ilvl w:val="1"/>
          <w:numId w:val="1"/>
        </w:numPr>
        <w:contextualSpacing/>
      </w:pPr>
      <w:r w:rsidRPr="00283B33">
        <w:t>First Newsletter</w:t>
      </w:r>
    </w:p>
    <w:p w:rsidR="00283B33" w:rsidRPr="00283B33" w:rsidRDefault="00283B33" w:rsidP="00283B33">
      <w:pPr>
        <w:numPr>
          <w:ilvl w:val="1"/>
          <w:numId w:val="1"/>
        </w:numPr>
        <w:contextualSpacing/>
      </w:pPr>
      <w:r w:rsidRPr="00283B33">
        <w:t xml:space="preserve">Need to get new account for Google Calendar to update IACTE calendar </w:t>
      </w:r>
    </w:p>
    <w:p w:rsidR="00283B33" w:rsidRPr="00283B33" w:rsidRDefault="00283B33" w:rsidP="00283B33">
      <w:pPr>
        <w:contextualSpacing/>
      </w:pPr>
    </w:p>
    <w:p w:rsidR="00283B33" w:rsidRPr="00283B33" w:rsidRDefault="00283B33" w:rsidP="00283B33">
      <w:pPr>
        <w:contextualSpacing/>
      </w:pPr>
    </w:p>
    <w:p w:rsidR="00283B33" w:rsidRPr="00283B33" w:rsidRDefault="00283B33" w:rsidP="00283B33">
      <w:pPr>
        <w:contextualSpacing/>
      </w:pPr>
      <w:r w:rsidRPr="00283B33">
        <w:t>Respectfully submitted by Sandra Miller</w:t>
      </w:r>
    </w:p>
    <w:p w:rsidR="00283B33" w:rsidRDefault="00283B33" w:rsidP="00283B33">
      <w:pPr>
        <w:rPr>
          <w:b/>
          <w:sz w:val="24"/>
          <w:szCs w:val="24"/>
        </w:rPr>
      </w:pPr>
    </w:p>
    <w:p w:rsidR="00283B33" w:rsidRPr="00283B33" w:rsidRDefault="00283B33" w:rsidP="00283B33">
      <w:pPr>
        <w:rPr>
          <w:b/>
          <w:sz w:val="24"/>
          <w:szCs w:val="24"/>
        </w:rPr>
      </w:pPr>
    </w:p>
    <w:p w:rsidR="00283B33" w:rsidRPr="00283B33" w:rsidRDefault="00283B33" w:rsidP="00283B33">
      <w:pPr>
        <w:rPr>
          <w:b/>
          <w:sz w:val="24"/>
          <w:szCs w:val="24"/>
        </w:rPr>
      </w:pPr>
      <w:r w:rsidRPr="00283B33">
        <w:rPr>
          <w:b/>
          <w:sz w:val="24"/>
          <w:szCs w:val="24"/>
        </w:rPr>
        <w:t>IACTE Membership Report</w:t>
      </w:r>
    </w:p>
    <w:p w:rsidR="00283B33" w:rsidRPr="00283B33" w:rsidRDefault="00283B33" w:rsidP="00283B33">
      <w:pPr>
        <w:rPr>
          <w:b/>
          <w:sz w:val="24"/>
          <w:szCs w:val="24"/>
        </w:rPr>
      </w:pPr>
      <w:r w:rsidRPr="00283B33">
        <w:rPr>
          <w:b/>
          <w:sz w:val="24"/>
          <w:szCs w:val="24"/>
        </w:rPr>
        <w:t>March 10, 2016</w:t>
      </w:r>
    </w:p>
    <w:p w:rsidR="00283B33" w:rsidRDefault="00283B33" w:rsidP="00283B33">
      <w:pPr>
        <w:rPr>
          <w:b/>
          <w:sz w:val="24"/>
          <w:szCs w:val="24"/>
        </w:rPr>
      </w:pPr>
    </w:p>
    <w:p w:rsidR="00283B33" w:rsidRPr="00283B33" w:rsidRDefault="00283B33" w:rsidP="00283B33">
      <w:pPr>
        <w:rPr>
          <w:b/>
          <w:sz w:val="24"/>
          <w:szCs w:val="24"/>
        </w:rPr>
      </w:pPr>
      <w:r w:rsidRPr="00283B33">
        <w:rPr>
          <w:b/>
          <w:sz w:val="24"/>
          <w:szCs w:val="24"/>
        </w:rPr>
        <w:t>Professional Memberships @ $15 each</w:t>
      </w:r>
    </w:p>
    <w:p w:rsidR="00283B33" w:rsidRPr="00283B33" w:rsidRDefault="00283B33" w:rsidP="00283B33">
      <w:pPr>
        <w:rPr>
          <w:sz w:val="24"/>
          <w:szCs w:val="24"/>
        </w:rPr>
      </w:pPr>
      <w:r w:rsidRPr="00283B33">
        <w:rPr>
          <w:sz w:val="24"/>
          <w:szCs w:val="24"/>
        </w:rPr>
        <w:t>Agriculture</w:t>
      </w:r>
      <w:r w:rsidRPr="00283B33">
        <w:rPr>
          <w:sz w:val="24"/>
          <w:szCs w:val="24"/>
        </w:rPr>
        <w:tab/>
      </w:r>
      <w:r w:rsidRPr="00283B33">
        <w:rPr>
          <w:sz w:val="24"/>
          <w:szCs w:val="24"/>
        </w:rPr>
        <w:tab/>
      </w:r>
      <w:r w:rsidRPr="00283B33">
        <w:rPr>
          <w:sz w:val="24"/>
          <w:szCs w:val="24"/>
        </w:rPr>
        <w:tab/>
        <w:t>158</w:t>
      </w:r>
    </w:p>
    <w:p w:rsidR="00283B33" w:rsidRPr="00283B33" w:rsidRDefault="00283B33" w:rsidP="00283B33">
      <w:pPr>
        <w:rPr>
          <w:sz w:val="24"/>
          <w:szCs w:val="24"/>
        </w:rPr>
      </w:pPr>
      <w:r w:rsidRPr="00283B33">
        <w:rPr>
          <w:sz w:val="24"/>
          <w:szCs w:val="24"/>
        </w:rPr>
        <w:t>Business</w:t>
      </w:r>
      <w:r w:rsidRPr="00283B33">
        <w:rPr>
          <w:sz w:val="24"/>
          <w:szCs w:val="24"/>
        </w:rPr>
        <w:tab/>
      </w:r>
      <w:r w:rsidRPr="00283B33">
        <w:rPr>
          <w:sz w:val="24"/>
          <w:szCs w:val="24"/>
        </w:rPr>
        <w:tab/>
      </w:r>
      <w:r w:rsidRPr="00283B33">
        <w:rPr>
          <w:sz w:val="24"/>
          <w:szCs w:val="24"/>
        </w:rPr>
        <w:tab/>
        <w:t>126</w:t>
      </w:r>
    </w:p>
    <w:p w:rsidR="00283B33" w:rsidRPr="00283B33" w:rsidRDefault="00283B33" w:rsidP="00283B33">
      <w:pPr>
        <w:rPr>
          <w:sz w:val="24"/>
          <w:szCs w:val="24"/>
        </w:rPr>
      </w:pPr>
      <w:r w:rsidRPr="00283B33">
        <w:rPr>
          <w:sz w:val="24"/>
          <w:szCs w:val="24"/>
        </w:rPr>
        <w:t xml:space="preserve">Family &amp; Consumer Sciences </w:t>
      </w:r>
      <w:r w:rsidRPr="00283B33">
        <w:rPr>
          <w:sz w:val="24"/>
          <w:szCs w:val="24"/>
        </w:rPr>
        <w:tab/>
        <w:t>133</w:t>
      </w:r>
    </w:p>
    <w:p w:rsidR="00283B33" w:rsidRPr="00283B33" w:rsidRDefault="00283B33" w:rsidP="00283B33">
      <w:pPr>
        <w:rPr>
          <w:sz w:val="24"/>
          <w:szCs w:val="24"/>
        </w:rPr>
      </w:pPr>
      <w:r w:rsidRPr="00283B33">
        <w:rPr>
          <w:sz w:val="24"/>
          <w:szCs w:val="24"/>
        </w:rPr>
        <w:t>Health</w:t>
      </w:r>
      <w:r w:rsidRPr="00283B33">
        <w:rPr>
          <w:sz w:val="24"/>
          <w:szCs w:val="24"/>
        </w:rPr>
        <w:tab/>
      </w:r>
      <w:r w:rsidRPr="00283B33">
        <w:rPr>
          <w:sz w:val="24"/>
          <w:szCs w:val="24"/>
        </w:rPr>
        <w:tab/>
      </w:r>
      <w:r w:rsidRPr="00283B33">
        <w:rPr>
          <w:sz w:val="24"/>
          <w:szCs w:val="24"/>
        </w:rPr>
        <w:tab/>
      </w:r>
      <w:r w:rsidRPr="00283B33">
        <w:rPr>
          <w:sz w:val="24"/>
          <w:szCs w:val="24"/>
        </w:rPr>
        <w:tab/>
        <w:t xml:space="preserve">  57</w:t>
      </w:r>
    </w:p>
    <w:p w:rsidR="00283B33" w:rsidRPr="00283B33" w:rsidRDefault="00283B33" w:rsidP="00283B33">
      <w:pPr>
        <w:rPr>
          <w:sz w:val="24"/>
          <w:szCs w:val="24"/>
        </w:rPr>
      </w:pPr>
      <w:r w:rsidRPr="00283B33">
        <w:rPr>
          <w:sz w:val="24"/>
          <w:szCs w:val="24"/>
        </w:rPr>
        <w:t>Industrial Tech</w:t>
      </w:r>
      <w:r w:rsidRPr="00283B33">
        <w:rPr>
          <w:sz w:val="24"/>
          <w:szCs w:val="24"/>
        </w:rPr>
        <w:tab/>
      </w:r>
      <w:r w:rsidRPr="00283B33">
        <w:rPr>
          <w:sz w:val="24"/>
          <w:szCs w:val="24"/>
        </w:rPr>
        <w:tab/>
        <w:t xml:space="preserve">    5</w:t>
      </w:r>
    </w:p>
    <w:p w:rsidR="00283B33" w:rsidRPr="00283B33" w:rsidRDefault="00283B33" w:rsidP="00283B33">
      <w:pPr>
        <w:rPr>
          <w:sz w:val="24"/>
          <w:szCs w:val="24"/>
        </w:rPr>
      </w:pPr>
      <w:r w:rsidRPr="00283B33">
        <w:rPr>
          <w:sz w:val="24"/>
          <w:szCs w:val="24"/>
        </w:rPr>
        <w:t>Administration</w:t>
      </w:r>
      <w:r w:rsidRPr="00283B33">
        <w:rPr>
          <w:sz w:val="24"/>
          <w:szCs w:val="24"/>
        </w:rPr>
        <w:tab/>
      </w:r>
      <w:r w:rsidRPr="00283B33">
        <w:rPr>
          <w:sz w:val="24"/>
          <w:szCs w:val="24"/>
        </w:rPr>
        <w:tab/>
        <w:t xml:space="preserve">  12</w:t>
      </w:r>
    </w:p>
    <w:p w:rsidR="00283B33" w:rsidRPr="00283B33" w:rsidRDefault="00283B33" w:rsidP="00283B33">
      <w:pPr>
        <w:rPr>
          <w:sz w:val="24"/>
          <w:szCs w:val="24"/>
        </w:rPr>
      </w:pPr>
      <w:r w:rsidRPr="00283B33">
        <w:rPr>
          <w:sz w:val="24"/>
          <w:szCs w:val="24"/>
        </w:rPr>
        <w:t>School Counselors</w:t>
      </w:r>
      <w:r w:rsidRPr="00283B33">
        <w:rPr>
          <w:sz w:val="24"/>
          <w:szCs w:val="24"/>
        </w:rPr>
        <w:tab/>
      </w:r>
      <w:r w:rsidRPr="00283B33">
        <w:rPr>
          <w:sz w:val="24"/>
          <w:szCs w:val="24"/>
        </w:rPr>
        <w:tab/>
        <w:t xml:space="preserve">    1</w:t>
      </w:r>
    </w:p>
    <w:p w:rsidR="00283B33" w:rsidRPr="00283B33" w:rsidRDefault="00283B33" w:rsidP="00283B33">
      <w:pPr>
        <w:rPr>
          <w:b/>
          <w:sz w:val="24"/>
          <w:szCs w:val="24"/>
        </w:rPr>
      </w:pPr>
      <w:r w:rsidRPr="00283B33">
        <w:rPr>
          <w:b/>
          <w:sz w:val="24"/>
          <w:szCs w:val="24"/>
        </w:rPr>
        <w:t>Sub Total</w:t>
      </w:r>
      <w:r w:rsidRPr="00283B33">
        <w:rPr>
          <w:b/>
          <w:sz w:val="24"/>
          <w:szCs w:val="24"/>
        </w:rPr>
        <w:tab/>
      </w:r>
      <w:r w:rsidRPr="00283B33">
        <w:rPr>
          <w:b/>
          <w:sz w:val="24"/>
          <w:szCs w:val="24"/>
        </w:rPr>
        <w:tab/>
      </w:r>
      <w:r w:rsidRPr="00283B33">
        <w:rPr>
          <w:b/>
          <w:sz w:val="24"/>
          <w:szCs w:val="24"/>
        </w:rPr>
        <w:tab/>
        <w:t>492</w:t>
      </w:r>
    </w:p>
    <w:p w:rsidR="00283B33" w:rsidRPr="00283B33" w:rsidRDefault="00283B33" w:rsidP="00283B33">
      <w:pPr>
        <w:rPr>
          <w:sz w:val="24"/>
          <w:szCs w:val="24"/>
        </w:rPr>
      </w:pPr>
    </w:p>
    <w:p w:rsidR="00283B33" w:rsidRPr="00283B33" w:rsidRDefault="00283B33" w:rsidP="00283B33">
      <w:pPr>
        <w:rPr>
          <w:b/>
          <w:sz w:val="24"/>
          <w:szCs w:val="24"/>
        </w:rPr>
      </w:pPr>
      <w:r w:rsidRPr="00283B33">
        <w:rPr>
          <w:b/>
          <w:sz w:val="24"/>
          <w:szCs w:val="24"/>
        </w:rPr>
        <w:t>Student Memberships @ $0</w:t>
      </w:r>
    </w:p>
    <w:p w:rsidR="00283B33" w:rsidRPr="00283B33" w:rsidRDefault="00283B33" w:rsidP="00283B33">
      <w:pPr>
        <w:rPr>
          <w:sz w:val="24"/>
          <w:szCs w:val="24"/>
        </w:rPr>
      </w:pPr>
      <w:r w:rsidRPr="00283B33">
        <w:rPr>
          <w:sz w:val="24"/>
          <w:szCs w:val="24"/>
        </w:rPr>
        <w:t>Agriculture</w:t>
      </w:r>
      <w:r w:rsidRPr="00283B33">
        <w:rPr>
          <w:sz w:val="24"/>
          <w:szCs w:val="24"/>
        </w:rPr>
        <w:tab/>
      </w:r>
      <w:r w:rsidRPr="00283B33">
        <w:rPr>
          <w:sz w:val="24"/>
          <w:szCs w:val="24"/>
        </w:rPr>
        <w:tab/>
      </w:r>
      <w:r w:rsidRPr="00283B33">
        <w:rPr>
          <w:sz w:val="24"/>
          <w:szCs w:val="24"/>
        </w:rPr>
        <w:tab/>
        <w:t xml:space="preserve">  1</w:t>
      </w:r>
    </w:p>
    <w:p w:rsidR="00283B33" w:rsidRPr="00283B33" w:rsidRDefault="00283B33" w:rsidP="00283B33">
      <w:pPr>
        <w:rPr>
          <w:sz w:val="24"/>
          <w:szCs w:val="24"/>
        </w:rPr>
      </w:pPr>
      <w:r w:rsidRPr="00283B33">
        <w:rPr>
          <w:sz w:val="24"/>
          <w:szCs w:val="24"/>
        </w:rPr>
        <w:t>Family &amp; Consumer Sciences</w:t>
      </w:r>
      <w:r w:rsidRPr="00283B33">
        <w:rPr>
          <w:sz w:val="24"/>
          <w:szCs w:val="24"/>
        </w:rPr>
        <w:tab/>
        <w:t xml:space="preserve"> 20</w:t>
      </w:r>
    </w:p>
    <w:p w:rsidR="00283B33" w:rsidRPr="00283B33" w:rsidRDefault="00283B33" w:rsidP="00283B33">
      <w:pPr>
        <w:rPr>
          <w:sz w:val="24"/>
          <w:szCs w:val="24"/>
        </w:rPr>
      </w:pPr>
      <w:r w:rsidRPr="00283B33">
        <w:rPr>
          <w:sz w:val="24"/>
          <w:szCs w:val="24"/>
        </w:rPr>
        <w:t>Not identified</w:t>
      </w:r>
      <w:r w:rsidRPr="00283B33">
        <w:rPr>
          <w:sz w:val="24"/>
          <w:szCs w:val="24"/>
        </w:rPr>
        <w:tab/>
      </w:r>
      <w:r w:rsidRPr="00283B33">
        <w:rPr>
          <w:sz w:val="24"/>
          <w:szCs w:val="24"/>
        </w:rPr>
        <w:tab/>
      </w:r>
      <w:r w:rsidRPr="00283B33">
        <w:rPr>
          <w:sz w:val="24"/>
          <w:szCs w:val="24"/>
        </w:rPr>
        <w:tab/>
        <w:t xml:space="preserve">  1</w:t>
      </w:r>
    </w:p>
    <w:p w:rsidR="00283B33" w:rsidRPr="00283B33" w:rsidRDefault="00283B33" w:rsidP="00283B33">
      <w:pPr>
        <w:rPr>
          <w:b/>
          <w:sz w:val="24"/>
          <w:szCs w:val="24"/>
        </w:rPr>
      </w:pPr>
      <w:r w:rsidRPr="00283B33">
        <w:rPr>
          <w:b/>
          <w:sz w:val="24"/>
          <w:szCs w:val="24"/>
        </w:rPr>
        <w:t>Sub Total</w:t>
      </w:r>
      <w:r w:rsidRPr="00283B33">
        <w:rPr>
          <w:b/>
          <w:sz w:val="24"/>
          <w:szCs w:val="24"/>
        </w:rPr>
        <w:tab/>
      </w:r>
      <w:r w:rsidRPr="00283B33">
        <w:rPr>
          <w:b/>
          <w:sz w:val="24"/>
          <w:szCs w:val="24"/>
        </w:rPr>
        <w:tab/>
      </w:r>
      <w:r w:rsidRPr="00283B33">
        <w:rPr>
          <w:b/>
          <w:sz w:val="24"/>
          <w:szCs w:val="24"/>
        </w:rPr>
        <w:tab/>
        <w:t xml:space="preserve"> 22</w:t>
      </w:r>
    </w:p>
    <w:p w:rsidR="00283B33" w:rsidRPr="00283B33" w:rsidRDefault="00283B33" w:rsidP="00283B33">
      <w:pPr>
        <w:rPr>
          <w:sz w:val="24"/>
          <w:szCs w:val="24"/>
        </w:rPr>
      </w:pPr>
    </w:p>
    <w:p w:rsidR="00283B33" w:rsidRPr="00283B33" w:rsidRDefault="00283B33" w:rsidP="00283B33">
      <w:pPr>
        <w:rPr>
          <w:b/>
          <w:sz w:val="24"/>
          <w:szCs w:val="24"/>
        </w:rPr>
      </w:pPr>
      <w:r w:rsidRPr="00283B33">
        <w:rPr>
          <w:b/>
          <w:sz w:val="24"/>
          <w:szCs w:val="24"/>
        </w:rPr>
        <w:t>Total Memberships</w:t>
      </w:r>
      <w:r w:rsidRPr="00283B33">
        <w:rPr>
          <w:b/>
          <w:sz w:val="24"/>
          <w:szCs w:val="24"/>
        </w:rPr>
        <w:tab/>
        <w:t>514</w:t>
      </w:r>
    </w:p>
    <w:p w:rsidR="00283B33" w:rsidRPr="00283B33" w:rsidRDefault="00283B33" w:rsidP="00283B33">
      <w:pPr>
        <w:rPr>
          <w:sz w:val="24"/>
          <w:szCs w:val="24"/>
        </w:rPr>
      </w:pPr>
    </w:p>
    <w:p w:rsidR="00283B33" w:rsidRPr="00283B33" w:rsidRDefault="00283B33" w:rsidP="00A20064">
      <w:pPr>
        <w:rPr>
          <w:sz w:val="24"/>
          <w:szCs w:val="24"/>
        </w:rPr>
      </w:pPr>
      <w:r w:rsidRPr="00283B33">
        <w:rPr>
          <w:sz w:val="24"/>
          <w:szCs w:val="24"/>
        </w:rPr>
        <w:t>Respectfully submitted by Sandra Miller</w:t>
      </w:r>
    </w:p>
    <w:sectPr w:rsidR="00283B33" w:rsidRPr="00283B33" w:rsidSect="00FE5BD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C0" w:rsidRDefault="00D059C0" w:rsidP="00FE5BD3">
      <w:pPr>
        <w:spacing w:after="0" w:line="240" w:lineRule="auto"/>
      </w:pPr>
      <w:r>
        <w:separator/>
      </w:r>
    </w:p>
  </w:endnote>
  <w:endnote w:type="continuationSeparator" w:id="0">
    <w:p w:rsidR="00D059C0" w:rsidRDefault="00D059C0" w:rsidP="00FE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C0" w:rsidRDefault="00D059C0" w:rsidP="00FE5BD3">
      <w:pPr>
        <w:spacing w:after="0" w:line="240" w:lineRule="auto"/>
      </w:pPr>
      <w:r>
        <w:separator/>
      </w:r>
    </w:p>
  </w:footnote>
  <w:footnote w:type="continuationSeparator" w:id="0">
    <w:p w:rsidR="00D059C0" w:rsidRDefault="00D059C0" w:rsidP="00FE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D3" w:rsidRDefault="00DA4B6A">
    <w:pPr>
      <w:pStyle w:val="Header"/>
    </w:pPr>
    <w:r>
      <w:t xml:space="preserve">  </w:t>
    </w:r>
  </w:p>
  <w:tbl>
    <w:tblPr>
      <w:tblStyle w:val="TableGrid"/>
      <w:tblW w:w="0" w:type="auto"/>
      <w:tblLook w:val="04A0" w:firstRow="1" w:lastRow="0" w:firstColumn="1" w:lastColumn="0" w:noHBand="0" w:noVBand="1"/>
    </w:tblPr>
    <w:tblGrid>
      <w:gridCol w:w="5395"/>
      <w:gridCol w:w="5395"/>
    </w:tblGrid>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bl>
  <w:p w:rsidR="00DA4B6A" w:rsidRDefault="00DA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6A" w:rsidRDefault="00FE5BD3">
    <w:pPr>
      <w:pStyle w:val="Header"/>
      <w:rPr>
        <w:rFonts w:ascii="Calibri" w:hAnsi="Calibri"/>
        <w:sz w:val="20"/>
      </w:rPr>
    </w:pPr>
    <w:r>
      <w:rPr>
        <w:rFonts w:ascii="Calibri" w:hAnsi="Calibri"/>
        <w:sz w:val="20"/>
      </w:rPr>
      <w:t xml:space="preserve">      </w:t>
    </w:r>
  </w:p>
  <w:p w:rsidR="00DA4B6A" w:rsidRDefault="00DA4B6A">
    <w:pPr>
      <w:pStyle w:val="Header"/>
      <w:rPr>
        <w:rFonts w:ascii="Calibri" w:hAnsi="Calibri"/>
        <w:sz w:val="20"/>
      </w:rPr>
    </w:pPr>
  </w:p>
  <w:p w:rsidR="00FE5BD3" w:rsidRPr="00FE5BD3" w:rsidRDefault="00FE5BD3">
    <w:pPr>
      <w:pStyle w:val="Header"/>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33B"/>
    <w:multiLevelType w:val="hybridMultilevel"/>
    <w:tmpl w:val="D5941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D3"/>
    <w:rsid w:val="000510B3"/>
    <w:rsid w:val="001A6A9E"/>
    <w:rsid w:val="00283B33"/>
    <w:rsid w:val="00421754"/>
    <w:rsid w:val="00576D14"/>
    <w:rsid w:val="00805EF9"/>
    <w:rsid w:val="009D6FA9"/>
    <w:rsid w:val="00A20064"/>
    <w:rsid w:val="00A8230E"/>
    <w:rsid w:val="00BF7CA9"/>
    <w:rsid w:val="00D059C0"/>
    <w:rsid w:val="00DA4B6A"/>
    <w:rsid w:val="00EF287F"/>
    <w:rsid w:val="00FC621C"/>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515B4-4864-44D0-B285-E282437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D3"/>
  </w:style>
  <w:style w:type="paragraph" w:styleId="Footer">
    <w:name w:val="footer"/>
    <w:basedOn w:val="Normal"/>
    <w:link w:val="FooterChar"/>
    <w:uiPriority w:val="99"/>
    <w:unhideWhenUsed/>
    <w:rsid w:val="00F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D3"/>
  </w:style>
  <w:style w:type="paragraph" w:styleId="Title">
    <w:name w:val="Title"/>
    <w:basedOn w:val="Normal"/>
    <w:next w:val="Normal"/>
    <w:link w:val="TitleChar"/>
    <w:uiPriority w:val="10"/>
    <w:qFormat/>
    <w:rsid w:val="00FE5BD3"/>
    <w:pPr>
      <w:spacing w:after="0" w:line="240" w:lineRule="auto"/>
    </w:pPr>
    <w:rPr>
      <w:rFonts w:ascii="Cambria" w:eastAsia="Times New Roman" w:hAnsi="Cambria" w:cs="Times New Roman"/>
      <w:sz w:val="52"/>
      <w:szCs w:val="24"/>
    </w:rPr>
  </w:style>
  <w:style w:type="character" w:customStyle="1" w:styleId="TitleChar">
    <w:name w:val="Title Char"/>
    <w:basedOn w:val="DefaultParagraphFont"/>
    <w:link w:val="Title"/>
    <w:uiPriority w:val="10"/>
    <w:rsid w:val="00FE5BD3"/>
    <w:rPr>
      <w:rFonts w:ascii="Cambria" w:eastAsia="Times New Roman" w:hAnsi="Cambria" w:cs="Times New Roman"/>
      <w:sz w:val="52"/>
      <w:szCs w:val="24"/>
    </w:rPr>
  </w:style>
  <w:style w:type="paragraph" w:customStyle="1" w:styleId="ConferenceName">
    <w:name w:val="Conference Name"/>
    <w:basedOn w:val="Normal"/>
    <w:qFormat/>
    <w:rsid w:val="00FE5BD3"/>
    <w:pPr>
      <w:spacing w:after="0" w:line="240" w:lineRule="auto"/>
    </w:pPr>
    <w:rPr>
      <w:rFonts w:ascii="Calibri" w:eastAsia="Times New Roman" w:hAnsi="Calibri" w:cs="Times New Roman"/>
      <w:b/>
      <w:sz w:val="20"/>
      <w:szCs w:val="24"/>
    </w:rPr>
  </w:style>
  <w:style w:type="table" w:styleId="TableGrid">
    <w:name w:val="Table Grid"/>
    <w:basedOn w:val="TableNormal"/>
    <w:uiPriority w:val="39"/>
    <w:rsid w:val="00DA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Miller</dc:creator>
  <cp:keywords/>
  <dc:description/>
  <cp:lastModifiedBy>Sandy Miller</cp:lastModifiedBy>
  <cp:revision>6</cp:revision>
  <dcterms:created xsi:type="dcterms:W3CDTF">2016-03-11T07:00:00Z</dcterms:created>
  <dcterms:modified xsi:type="dcterms:W3CDTF">2016-03-11T07:20:00Z</dcterms:modified>
</cp:coreProperties>
</file>